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782C9B">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782C9B">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782C9B">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782C9B">
      <w:pPr>
        <w:pStyle w:val="Heading2"/>
        <w:numPr>
          <w:ilvl w:val="0"/>
          <w:numId w:val="38"/>
        </w:numPr>
        <w:ind w:left="1800"/>
      </w:pPr>
      <w:r>
        <w:t>Application of the game lines</w:t>
      </w:r>
    </w:p>
    <w:p w:rsidR="00374CF2" w:rsidRDefault="00782C9B">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782C9B">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782C9B">
      <w:pPr>
        <w:pStyle w:val="Heading2"/>
        <w:numPr>
          <w:ilvl w:val="0"/>
          <w:numId w:val="39"/>
        </w:numPr>
        <w:ind w:left="1800"/>
      </w:pPr>
      <w:bookmarkStart w:id="5" w:name="_8nvh04aq9v7x" w:colFirst="0" w:colLast="0"/>
      <w:bookmarkEnd w:id="5"/>
      <w:r>
        <w:t xml:space="preserve">Product Data: </w:t>
      </w:r>
    </w:p>
    <w:p w:rsidR="00374CF2" w:rsidRDefault="00782C9B">
      <w:pPr>
        <w:pStyle w:val="Heading3"/>
        <w:numPr>
          <w:ilvl w:val="0"/>
          <w:numId w:val="29"/>
        </w:numPr>
      </w:pPr>
      <w:bookmarkStart w:id="6" w:name="_mbht9w5apjye" w:colFirst="0" w:colLast="0"/>
      <w:bookmarkEnd w:id="6"/>
      <w:r>
        <w:t>Manufacturer’s promotional brochures, specifications and installation instructions</w:t>
      </w:r>
    </w:p>
    <w:p w:rsidR="00374CF2" w:rsidRDefault="00782C9B">
      <w:pPr>
        <w:pStyle w:val="Heading2"/>
        <w:numPr>
          <w:ilvl w:val="0"/>
          <w:numId w:val="2"/>
        </w:numPr>
        <w:ind w:left="1800"/>
      </w:pPr>
      <w:bookmarkStart w:id="7" w:name="_w1ubeaji2fuo" w:colFirst="0" w:colLast="0"/>
      <w:bookmarkEnd w:id="7"/>
      <w:r>
        <w:t>Manufacturer Certifications:</w:t>
      </w:r>
    </w:p>
    <w:p w:rsidR="00374CF2" w:rsidRDefault="00782C9B">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782C9B">
      <w:pPr>
        <w:pStyle w:val="Heading3"/>
        <w:numPr>
          <w:ilvl w:val="0"/>
          <w:numId w:val="23"/>
        </w:numPr>
      </w:pPr>
      <w:r>
        <w:t xml:space="preserve">Suppliers of private label flooring for this project must identify themselves as such and fully disclose the OEM information listed above. </w:t>
      </w:r>
    </w:p>
    <w:p w:rsidR="00374CF2" w:rsidRDefault="00782C9B">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782C9B">
      <w:pPr>
        <w:pStyle w:val="Heading2"/>
        <w:numPr>
          <w:ilvl w:val="0"/>
          <w:numId w:val="4"/>
        </w:numPr>
        <w:ind w:left="1800"/>
      </w:pPr>
      <w:bookmarkStart w:id="9" w:name="_5eh6f3ptz8md" w:colFirst="0" w:colLast="0"/>
      <w:bookmarkEnd w:id="9"/>
      <w:r>
        <w:t>Samples:</w:t>
      </w:r>
    </w:p>
    <w:p w:rsidR="00374CF2" w:rsidRDefault="00782C9B">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782C9B">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782C9B">
      <w:pPr>
        <w:pStyle w:val="Heading2"/>
        <w:numPr>
          <w:ilvl w:val="0"/>
          <w:numId w:val="43"/>
        </w:numPr>
        <w:ind w:left="1800"/>
      </w:pPr>
      <w:bookmarkStart w:id="11" w:name="_wbdw4c9slq85" w:colFirst="0" w:colLast="0"/>
      <w:bookmarkEnd w:id="11"/>
      <w:r>
        <w:t>Closeout Submittals: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782C9B">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782C9B">
      <w:pPr>
        <w:pStyle w:val="Heading2"/>
        <w:numPr>
          <w:ilvl w:val="0"/>
          <w:numId w:val="5"/>
        </w:numPr>
      </w:pPr>
      <w:bookmarkStart w:id="12" w:name="_jrrqv6e9r0w1" w:colFirst="0" w:colLast="0"/>
      <w:bookmarkEnd w:id="12"/>
      <w:r>
        <w:t>Qualifications:</w:t>
      </w:r>
    </w:p>
    <w:p w:rsidR="00374CF2" w:rsidRDefault="00782C9B">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782C9B">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782C9B">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782C9B">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782C9B">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782C9B">
      <w:pPr>
        <w:ind w:left="1800" w:hanging="360"/>
        <w:rPr>
          <w:rFonts w:ascii="Tahoma" w:eastAsia="Tahoma" w:hAnsi="Tahoma" w:cs="Tahoma"/>
        </w:rPr>
      </w:pPr>
      <w:r>
        <w:br w:type="page"/>
      </w:r>
    </w:p>
    <w:p w:rsidR="00374CF2" w:rsidRDefault="00782C9B">
      <w:pPr>
        <w:pStyle w:val="Heading2"/>
        <w:numPr>
          <w:ilvl w:val="0"/>
          <w:numId w:val="37"/>
        </w:numPr>
        <w:ind w:left="1800"/>
      </w:pPr>
      <w:bookmarkStart w:id="18" w:name="_umiq4w4tqgv9" w:colFirst="0" w:colLast="0"/>
      <w:bookmarkEnd w:id="18"/>
      <w:r>
        <w:lastRenderedPageBreak/>
        <w:t>Certifications:</w:t>
      </w:r>
    </w:p>
    <w:p w:rsidR="00374CF2" w:rsidRDefault="00782C9B">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782C9B">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782C9B">
      <w:pPr>
        <w:pStyle w:val="Heading2"/>
        <w:contextualSpacing w:val="0"/>
      </w:pPr>
      <w:bookmarkStart w:id="20" w:name="_w5xx91rszik" w:colFirst="0" w:colLast="0"/>
      <w:bookmarkEnd w:id="20"/>
      <w:r>
        <w:t>C.   Testing:</w:t>
      </w:r>
    </w:p>
    <w:p w:rsidR="00374CF2" w:rsidRDefault="00782C9B">
      <w:pPr>
        <w:pStyle w:val="Heading3"/>
        <w:numPr>
          <w:ilvl w:val="0"/>
          <w:numId w:val="3"/>
        </w:numPr>
      </w:pPr>
      <w:r>
        <w:t xml:space="preserve">Tests shall be relative for multi-purpose use with certificates from independent testing resources to be made available upon request.  </w:t>
      </w:r>
    </w:p>
    <w:p w:rsidR="00374CF2" w:rsidRDefault="00782C9B">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782C9B">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782C9B">
      <w:pPr>
        <w:pStyle w:val="Heading2"/>
        <w:numPr>
          <w:ilvl w:val="0"/>
          <w:numId w:val="19"/>
        </w:numPr>
        <w:ind w:left="1800"/>
      </w:pPr>
      <w:bookmarkStart w:id="23" w:name="_kcn1odpjxlrq" w:colFirst="0" w:colLast="0"/>
      <w:bookmarkEnd w:id="23"/>
      <w:r>
        <w:t>Storage:</w:t>
      </w:r>
    </w:p>
    <w:p w:rsidR="00374CF2" w:rsidRDefault="00782C9B">
      <w:pPr>
        <w:pStyle w:val="Heading3"/>
        <w:numPr>
          <w:ilvl w:val="0"/>
          <w:numId w:val="18"/>
        </w:numPr>
        <w:ind w:left="2160"/>
      </w:pPr>
      <w:r>
        <w:t xml:space="preserve">Store the material in a secure, clean and dry location.  </w:t>
      </w:r>
    </w:p>
    <w:p w:rsidR="00374CF2" w:rsidRDefault="00782C9B">
      <w:pPr>
        <w:pStyle w:val="Heading3"/>
        <w:numPr>
          <w:ilvl w:val="0"/>
          <w:numId w:val="18"/>
        </w:numPr>
        <w:ind w:left="2160"/>
      </w:pPr>
      <w:r>
        <w:t xml:space="preserve">Maintain temperature between 55° and 85° Fahrenheit. </w:t>
      </w:r>
    </w:p>
    <w:p w:rsidR="00374CF2" w:rsidRDefault="00782C9B">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782C9B">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782C9B">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782C9B">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782C9B">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782C9B">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782C9B">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782C9B">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782C9B">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782C9B">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782C9B">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782C9B">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782C9B">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782C9B">
      <w:pPr>
        <w:pStyle w:val="Heading2"/>
        <w:numPr>
          <w:ilvl w:val="0"/>
          <w:numId w:val="20"/>
        </w:numPr>
        <w:ind w:left="1800"/>
      </w:pPr>
      <w:bookmarkStart w:id="25" w:name="_fp0z1asf9mvy" w:colFirst="0" w:colLast="0"/>
      <w:bookmarkEnd w:id="25"/>
      <w:r>
        <w:t xml:space="preserve">Special Limited Warranty: </w:t>
      </w:r>
    </w:p>
    <w:p w:rsidR="00374CF2" w:rsidRDefault="00782C9B">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782C9B">
      <w:pPr>
        <w:pStyle w:val="Heading2"/>
        <w:numPr>
          <w:ilvl w:val="0"/>
          <w:numId w:val="41"/>
        </w:numPr>
        <w:ind w:left="1800"/>
      </w:pPr>
      <w:bookmarkStart w:id="27" w:name="_69f52k83yyoi" w:colFirst="0" w:colLast="0"/>
      <w:bookmarkEnd w:id="27"/>
      <w:r>
        <w:t>Material warranty must be direct from the product manufacturer.</w:t>
      </w:r>
    </w:p>
    <w:p w:rsidR="00374CF2" w:rsidRDefault="00782C9B">
      <w:pPr>
        <w:pStyle w:val="Heading3"/>
        <w:numPr>
          <w:ilvl w:val="0"/>
          <w:numId w:val="26"/>
        </w:numPr>
        <w:ind w:left="2160"/>
      </w:pPr>
      <w:r>
        <w:t>Material warranties from separate or third party insurance providers are not valid.</w:t>
      </w:r>
    </w:p>
    <w:p w:rsidR="00374CF2" w:rsidRDefault="00782C9B">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782C9B">
      <w:pPr>
        <w:pStyle w:val="Heading2"/>
        <w:numPr>
          <w:ilvl w:val="0"/>
          <w:numId w:val="27"/>
        </w:numPr>
        <w:ind w:left="1800"/>
      </w:pPr>
      <w:bookmarkStart w:id="29" w:name="_xenh2ybscskb" w:colFirst="0" w:colLast="0"/>
      <w:bookmarkEnd w:id="29"/>
      <w:r>
        <w:t>Failures include, but are not limited to, the following:</w:t>
      </w:r>
    </w:p>
    <w:p w:rsidR="00374CF2" w:rsidRDefault="00782C9B">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782C9B">
      <w:pPr>
        <w:pStyle w:val="Heading3"/>
        <w:numPr>
          <w:ilvl w:val="0"/>
          <w:numId w:val="11"/>
        </w:numPr>
        <w:ind w:left="2160"/>
      </w:pPr>
      <w:r>
        <w:t>Surface wear and deterioration to the point of wear-through of wear layer per ASTM F410/ASTM F1303.</w:t>
      </w:r>
    </w:p>
    <w:p w:rsidR="00374CF2" w:rsidRDefault="00782C9B">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782C9B">
      <w:pPr>
        <w:pStyle w:val="Heading2"/>
        <w:numPr>
          <w:ilvl w:val="0"/>
          <w:numId w:val="12"/>
        </w:numPr>
        <w:ind w:left="1800"/>
      </w:pPr>
      <w:bookmarkStart w:id="31" w:name="_9m4yg6nm0px8" w:colFirst="0" w:colLast="0"/>
      <w:bookmarkEnd w:id="31"/>
      <w:r>
        <w:t>Warranty Period:</w:t>
      </w:r>
    </w:p>
    <w:p w:rsidR="00374CF2" w:rsidRDefault="00782C9B">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374CF2" w:rsidRDefault="00782C9B">
      <w:pPr>
        <w:pStyle w:val="Heading2"/>
        <w:numPr>
          <w:ilvl w:val="0"/>
          <w:numId w:val="13"/>
        </w:numPr>
        <w:ind w:left="1800"/>
      </w:pPr>
      <w:bookmarkStart w:id="33" w:name="_hri7lyittu3u" w:colFirst="0" w:colLast="0"/>
      <w:bookmarkStart w:id="34" w:name="_ra44oj3ncti7" w:colFirst="0" w:colLast="0"/>
      <w:bookmarkEnd w:id="33"/>
      <w:bookmarkEnd w:id="34"/>
      <w:r>
        <w:t xml:space="preserve">Installer’s Limited Warranty: </w:t>
      </w:r>
    </w:p>
    <w:p w:rsidR="00374CF2" w:rsidRDefault="00782C9B">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782C9B">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782C9B">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782C9B">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782C9B">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782C9B">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782C9B">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82C9B">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782C9B">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82C9B">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1"/>
      </w:pPr>
      <w:r>
        <w:rPr>
          <w:b/>
        </w:rPr>
        <w:t>PART 2 - PRODUCTS</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782C9B">
      <w:pPr>
        <w:pStyle w:val="Heading2"/>
        <w:numPr>
          <w:ilvl w:val="0"/>
          <w:numId w:val="21"/>
        </w:numPr>
        <w:ind w:left="1800"/>
      </w:pPr>
      <w:r>
        <w:t xml:space="preserve">The basis of the design for the indoor resilient multipurpose surfacing is Omnisports </w:t>
      </w:r>
      <w:r w:rsidR="00095E5D">
        <w:t>7.1</w:t>
      </w:r>
      <w:r>
        <w:t xml:space="preserve"> mm and </w:t>
      </w:r>
      <w:r w:rsidR="00257528">
        <w:t>Lumaflex Elite</w:t>
      </w:r>
      <w:r>
        <w:t xml:space="preserve"> system as manufactured by Tarkett. </w:t>
      </w:r>
    </w:p>
    <w:p w:rsidR="00374CF2" w:rsidRDefault="00782C9B">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782C9B">
      <w:pPr>
        <w:pStyle w:val="Heading2"/>
        <w:numPr>
          <w:ilvl w:val="0"/>
          <w:numId w:val="21"/>
        </w:numPr>
        <w:ind w:left="1800"/>
      </w:pPr>
      <w:r>
        <w:t xml:space="preserve">Other products may be approved as equal if deemed qualified and submitted in accordance with the General Conditions. </w:t>
      </w:r>
    </w:p>
    <w:p w:rsidR="00374CF2" w:rsidRDefault="00782C9B">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782C9B">
      <w:pPr>
        <w:pStyle w:val="Heading2"/>
        <w:numPr>
          <w:ilvl w:val="0"/>
          <w:numId w:val="35"/>
        </w:numPr>
        <w:ind w:left="1800"/>
      </w:pPr>
      <w:bookmarkStart w:id="40" w:name="_9to0ysiqq5fz" w:colFirst="0" w:colLast="0"/>
      <w:bookmarkEnd w:id="40"/>
      <w:r>
        <w:t xml:space="preserve">Omnisports </w:t>
      </w:r>
      <w:r w:rsidR="00095E5D">
        <w:t>7.1</w:t>
      </w:r>
      <w:r>
        <w:t xml:space="preserve"> mm - Prefabricated sport surface 2.0 mm (0.08”) with wood flooring design and slightly textured embossed surface as supplied by Tarkett.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374CF2" w:rsidRDefault="00782C9B">
      <w:pPr>
        <w:numPr>
          <w:ilvl w:val="0"/>
          <w:numId w:val="36"/>
        </w:numPr>
        <w:ind w:left="2160"/>
        <w:contextualSpacing/>
        <w:rPr>
          <w:rFonts w:ascii="Tahoma" w:eastAsia="Tahoma" w:hAnsi="Tahoma" w:cs="Tahoma"/>
        </w:rPr>
      </w:pPr>
      <w:r>
        <w:rPr>
          <w:rFonts w:ascii="Tahoma" w:eastAsia="Tahoma" w:hAnsi="Tahoma" w:cs="Tahoma"/>
        </w:rPr>
        <w:t xml:space="preserve">The </w:t>
      </w:r>
      <w:r w:rsidR="00257528">
        <w:rPr>
          <w:rFonts w:ascii="Tahoma" w:eastAsia="Tahoma" w:hAnsi="Tahoma" w:cs="Tahoma"/>
        </w:rPr>
        <w:t>Lumaflex Elite</w:t>
      </w:r>
      <w:r>
        <w:rPr>
          <w:rFonts w:ascii="Tahoma" w:eastAsia="Tahoma" w:hAnsi="Tahoma" w:cs="Tahoma"/>
        </w:rPr>
        <w:t xml:space="preserve"> System shall incorporate </w:t>
      </w:r>
      <w:r w:rsidR="00257528">
        <w:rPr>
          <w:rFonts w:ascii="Tahoma" w:eastAsia="Tahoma" w:hAnsi="Tahoma" w:cs="Tahoma"/>
        </w:rPr>
        <w:t>Lumaflex Elite</w:t>
      </w:r>
      <w:r>
        <w:rPr>
          <w:rFonts w:ascii="Tahoma" w:eastAsia="Tahoma" w:hAnsi="Tahoma" w:cs="Tahoma"/>
        </w:rPr>
        <w:t xml:space="preserve"> double tongue and grooved multi-ply engineered panels, force reduction cushion, and appropriate vapor retarder. </w:t>
      </w:r>
    </w:p>
    <w:p w:rsidR="00374CF2" w:rsidRDefault="00782C9B">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82C9B">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85’ (25.9m)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highlight w:val="white"/>
              </w:rPr>
            </w:pPr>
            <w:r>
              <w:rPr>
                <w:rFonts w:ascii="Tahoma" w:eastAsia="Tahoma" w:hAnsi="Tahoma" w:cs="Tahoma"/>
                <w:highlight w:val="white"/>
              </w:rPr>
              <w:t>2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095E5D">
            <w:pPr>
              <w:rPr>
                <w:rFonts w:ascii="Tahoma" w:eastAsia="Tahoma" w:hAnsi="Tahoma" w:cs="Tahoma"/>
              </w:rPr>
            </w:pPr>
            <w:r>
              <w:rPr>
                <w:rFonts w:ascii="Tahoma" w:eastAsia="Tahoma" w:hAnsi="Tahoma" w:cs="Tahoma"/>
              </w:rPr>
              <w:t>7.1</w:t>
            </w:r>
            <w:r w:rsidR="00782C9B">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095E5D">
            <w:pPr>
              <w:rPr>
                <w:rFonts w:ascii="Tahoma" w:eastAsia="Tahoma" w:hAnsi="Tahoma" w:cs="Tahoma"/>
              </w:rPr>
            </w:pPr>
            <w:r>
              <w:rPr>
                <w:rFonts w:ascii="Tahoma" w:eastAsia="Tahoma" w:hAnsi="Tahoma" w:cs="Tahoma"/>
              </w:rPr>
              <w:t>1 1/2” (37.1</w:t>
            </w:r>
            <w:r w:rsidR="00782C9B">
              <w:rPr>
                <w:rFonts w:ascii="Tahoma" w:eastAsia="Tahoma" w:hAnsi="Tahoma" w:cs="Tahoma"/>
              </w:rPr>
              <w:t xml:space="preserve"> mm approx.)</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0.30 (EN 1569 {11/1999})</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257528">
            <w:pPr>
              <w:rPr>
                <w:rFonts w:ascii="Tahoma" w:eastAsia="Tahoma" w:hAnsi="Tahoma" w:cs="Tahoma"/>
              </w:rPr>
            </w:pPr>
            <w:r>
              <w:rPr>
                <w:rFonts w:ascii="Tahoma" w:eastAsia="Tahoma" w:hAnsi="Tahoma" w:cs="Tahoma"/>
              </w:rPr>
              <w:t>ASTM F2772 Class 5</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(80 – 110)</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F2772  &gt; 90%</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F925</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74CF2" w:rsidRDefault="00782C9B">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EN 1717</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0.10 (EN ISO 5470-1 {06/1999})</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ASTM F970- Load 175 Lbs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bookmarkStart w:id="42" w:name="_GoBack"/>
            <w:bookmarkEnd w:id="42"/>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NO</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82C9B">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82C9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82C9B">
            <w:pPr>
              <w:rPr>
                <w:rFonts w:ascii="Tahoma" w:eastAsia="Tahoma" w:hAnsi="Tahoma" w:cs="Tahoma"/>
              </w:rPr>
            </w:pPr>
            <w:r>
              <w:rPr>
                <w:rFonts w:ascii="Tahoma" w:eastAsia="Tahoma" w:hAnsi="Tahoma" w:cs="Tahoma"/>
              </w:rPr>
              <w:t>YES</w:t>
            </w:r>
          </w:p>
        </w:tc>
      </w:tr>
    </w:tbl>
    <w:p w:rsidR="00374CF2" w:rsidRDefault="00374CF2">
      <w:pPr>
        <w:rPr>
          <w:rFonts w:ascii="Tahoma" w:eastAsia="Tahoma" w:hAnsi="Tahoma" w:cs="Tahoma"/>
        </w:rPr>
      </w:pPr>
    </w:p>
    <w:p w:rsidR="00374CF2" w:rsidRDefault="00782C9B">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4CF2" w:rsidRDefault="00782C9B">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4CF2" w:rsidRDefault="00782C9B">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4CF2" w:rsidRDefault="00782C9B">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782C9B">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782C9B">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782C9B">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782C9B">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374CF2" w:rsidRDefault="00374CF2">
      <w:pPr>
        <w:pStyle w:val="Heading2"/>
        <w:contextualSpacing w:val="0"/>
        <w:rPr>
          <w:u w:val="single"/>
        </w:rPr>
      </w:pPr>
    </w:p>
    <w:p w:rsidR="00374CF2" w:rsidRDefault="00782C9B">
      <w:pPr>
        <w:pStyle w:val="Heading4"/>
      </w:pPr>
      <w:bookmarkStart w:id="46" w:name="_24hu6pjnyjhq" w:colFirst="0" w:colLast="0"/>
      <w:bookmarkEnd w:id="46"/>
      <w:r>
        <w:br w:type="page"/>
      </w:r>
    </w:p>
    <w:p w:rsidR="00374CF2" w:rsidRDefault="00782C9B">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782C9B">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782C9B">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782C9B">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782C9B">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782C9B">
      <w:pPr>
        <w:pStyle w:val="Heading2"/>
        <w:numPr>
          <w:ilvl w:val="0"/>
          <w:numId w:val="30"/>
        </w:numPr>
        <w:ind w:left="1800"/>
      </w:pPr>
      <w:r>
        <w:t>Verify that there are no foreign materials or objects on the subfloor and that the subfloor is clean and ready for installation.</w:t>
      </w:r>
    </w:p>
    <w:p w:rsidR="00374CF2" w:rsidRDefault="00782C9B">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782C9B">
      <w:pPr>
        <w:pStyle w:val="Heading2"/>
        <w:numPr>
          <w:ilvl w:val="0"/>
          <w:numId w:val="30"/>
        </w:numPr>
        <w:ind w:left="1800"/>
      </w:pPr>
      <w:r>
        <w:t>Follow Fieldturf USA, Inc. installation recommendations.</w:t>
      </w:r>
    </w:p>
    <w:p w:rsidR="00374CF2" w:rsidRDefault="00782C9B">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782C9B">
      <w:pPr>
        <w:pStyle w:val="Heading2"/>
        <w:numPr>
          <w:ilvl w:val="0"/>
          <w:numId w:val="30"/>
        </w:numPr>
        <w:tabs>
          <w:tab w:val="left" w:pos="2250"/>
        </w:tabs>
        <w:ind w:left="1800"/>
      </w:pPr>
      <w:r>
        <w:t xml:space="preserve">Verify that the concrete subfloor surface pH level is within the 7 - 11 range.                                                                  </w:t>
      </w:r>
    </w:p>
    <w:p w:rsidR="00374CF2" w:rsidRDefault="00782C9B">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782C9B">
      <w:pPr>
        <w:pStyle w:val="Heading2"/>
        <w:contextualSpacing w:val="0"/>
      </w:pPr>
      <w:r>
        <w:t>A.</w:t>
      </w:r>
      <w:r>
        <w:tab/>
        <w:t>Sand the entire surface of the concrete slab.</w:t>
      </w:r>
    </w:p>
    <w:p w:rsidR="00374CF2" w:rsidRDefault="00782C9B">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782C9B">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782C9B">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782C9B">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782C9B">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782C9B">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782C9B">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782C9B">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782C9B">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782C9B">
      <w:pPr>
        <w:ind w:left="1440" w:hanging="720"/>
        <w:rPr>
          <w:rFonts w:ascii="Tahoma" w:eastAsia="Tahoma" w:hAnsi="Tahoma" w:cs="Tahoma"/>
        </w:rPr>
      </w:pPr>
      <w:r>
        <w:br w:type="page"/>
      </w:r>
    </w:p>
    <w:p w:rsidR="00374CF2" w:rsidRDefault="00782C9B">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782C9B">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782C9B">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782C9B">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782C9B">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782C9B">
      <w:pPr>
        <w:pStyle w:val="Heading2"/>
        <w:numPr>
          <w:ilvl w:val="0"/>
          <w:numId w:val="8"/>
        </w:numPr>
        <w:ind w:left="1800"/>
      </w:pPr>
      <w:r>
        <w:t>ASTM F2170 “Standard Test Method for Determining Relative Humidity In Concrete Floor Slabs Using In-Situ Probes”</w:t>
      </w:r>
    </w:p>
    <w:p w:rsidR="00374CF2" w:rsidRDefault="00782C9B">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782C9B">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782C9B">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782C9B">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1AD" w:rsidRDefault="00B311AD">
      <w:r>
        <w:separator/>
      </w:r>
    </w:p>
  </w:endnote>
  <w:endnote w:type="continuationSeparator" w:id="0">
    <w:p w:rsidR="00B311AD" w:rsidRDefault="00B3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782C9B">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654137">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654137">
      <w:rPr>
        <w:rFonts w:ascii="Tahoma" w:eastAsia="Tahoma" w:hAnsi="Tahoma" w:cs="Tahoma"/>
        <w:noProof/>
        <w:sz w:val="18"/>
        <w:szCs w:val="18"/>
      </w:rPr>
      <w:t>7</w:t>
    </w:r>
    <w:r>
      <w:rPr>
        <w:rFonts w:ascii="Tahoma" w:eastAsia="Tahoma" w:hAnsi="Tahoma" w:cs="Tahoma"/>
        <w:sz w:val="18"/>
        <w:szCs w:val="18"/>
      </w:rPr>
      <w:fldChar w:fldCharType="end"/>
    </w:r>
  </w:p>
  <w:p w:rsidR="00374CF2" w:rsidRDefault="00782C9B">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1AD" w:rsidRDefault="00B311AD">
      <w:r>
        <w:separator/>
      </w:r>
    </w:p>
  </w:footnote>
  <w:footnote w:type="continuationSeparator" w:id="0">
    <w:p w:rsidR="00B311AD" w:rsidRDefault="00B3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782C9B">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782C9B">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095E5D"/>
    <w:rsid w:val="000E63C0"/>
    <w:rsid w:val="00257528"/>
    <w:rsid w:val="00374CF2"/>
    <w:rsid w:val="003E565A"/>
    <w:rsid w:val="00454D0A"/>
    <w:rsid w:val="00467EB9"/>
    <w:rsid w:val="00654137"/>
    <w:rsid w:val="00782C9B"/>
    <w:rsid w:val="009A1579"/>
    <w:rsid w:val="00A761FE"/>
    <w:rsid w:val="00AD4F7E"/>
    <w:rsid w:val="00B311AD"/>
    <w:rsid w:val="00E4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3</cp:revision>
  <dcterms:created xsi:type="dcterms:W3CDTF">2019-01-13T17:26:00Z</dcterms:created>
  <dcterms:modified xsi:type="dcterms:W3CDTF">2019-01-13T19:16:00Z</dcterms:modified>
</cp:coreProperties>
</file>